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ED3" w14:textId="68563028" w:rsidR="008E05C7" w:rsidRDefault="003E1089" w:rsidP="001A43AD">
      <w:pPr>
        <w:jc w:val="center"/>
        <w:rPr>
          <w:b/>
        </w:rPr>
      </w:pPr>
      <w:r>
        <w:rPr>
          <w:b/>
        </w:rPr>
        <w:t>Tymczasowa p</w:t>
      </w:r>
      <w:r w:rsidR="00DB2CD2">
        <w:rPr>
          <w:b/>
        </w:rPr>
        <w:t>rocedura</w:t>
      </w:r>
      <w:r w:rsidR="008E05C7" w:rsidRPr="008E05C7">
        <w:rPr>
          <w:b/>
        </w:rPr>
        <w:t xml:space="preserve"> </w:t>
      </w:r>
      <w:r w:rsidR="008E3711">
        <w:rPr>
          <w:b/>
        </w:rPr>
        <w:t xml:space="preserve">Głównego Lekarza Weterynarii </w:t>
      </w:r>
      <w:r w:rsidR="00DB2CD2">
        <w:rPr>
          <w:b/>
        </w:rPr>
        <w:t xml:space="preserve">w </w:t>
      </w:r>
      <w:r w:rsidR="00BE0EB5">
        <w:rPr>
          <w:b/>
        </w:rPr>
        <w:t>sprawie</w:t>
      </w:r>
      <w:r w:rsidR="008E05C7" w:rsidRPr="008E05C7">
        <w:rPr>
          <w:b/>
        </w:rPr>
        <w:t xml:space="preserve"> postepowania ze zwierzętami towarzyszącymi podróżnym, wjeżdżającym z Ukrainy do UE przez polską granicę zewnętrzną w trakcie trwania konfliktu </w:t>
      </w:r>
      <w:r w:rsidR="001A43AD">
        <w:rPr>
          <w:b/>
        </w:rPr>
        <w:t>militarnego.</w:t>
      </w:r>
    </w:p>
    <w:p w14:paraId="48FC841B" w14:textId="77777777" w:rsidR="008E05C7" w:rsidRDefault="008E05C7" w:rsidP="00EF1FB7">
      <w:pPr>
        <w:jc w:val="both"/>
        <w:rPr>
          <w:b/>
        </w:rPr>
      </w:pPr>
    </w:p>
    <w:p w14:paraId="1A64D89A" w14:textId="77777777" w:rsidR="00AB7750" w:rsidRPr="00E71DDF" w:rsidRDefault="008E05C7" w:rsidP="00E71DDF">
      <w:pPr>
        <w:pStyle w:val="Akapitzlist"/>
        <w:numPr>
          <w:ilvl w:val="0"/>
          <w:numId w:val="3"/>
        </w:numPr>
        <w:jc w:val="both"/>
        <w:rPr>
          <w:b/>
        </w:rPr>
      </w:pPr>
      <w:r w:rsidRPr="00E71DDF">
        <w:rPr>
          <w:b/>
        </w:rPr>
        <w:t xml:space="preserve">Cel wytycznych: </w:t>
      </w:r>
    </w:p>
    <w:p w14:paraId="29D648CA" w14:textId="77777777" w:rsidR="00AB7750" w:rsidRDefault="008E05C7" w:rsidP="00EF1FB7">
      <w:pPr>
        <w:pStyle w:val="Akapitzlist"/>
        <w:numPr>
          <w:ilvl w:val="0"/>
          <w:numId w:val="1"/>
        </w:numPr>
        <w:jc w:val="both"/>
      </w:pPr>
      <w:r w:rsidRPr="008E05C7">
        <w:t xml:space="preserve">ustanowienie systemu minimalizującego ryzyko wwozu zwierząt stanowiących potencjalne zagrożenie </w:t>
      </w:r>
      <w:r>
        <w:t xml:space="preserve">przeniesienia </w:t>
      </w:r>
      <w:r w:rsidR="00F27EA5">
        <w:t xml:space="preserve">chorób zakaźnych, w szczególności </w:t>
      </w:r>
      <w:r>
        <w:t>wirusa wścieklizny na ludzi i zwierzęta w sytuacji masowego napływu osób opuszczających tereny objęte działaniami militarnymi</w:t>
      </w:r>
      <w:r w:rsidR="00F27EA5">
        <w:t xml:space="preserve"> i posiadających zwierzęta towarzyszące </w:t>
      </w:r>
    </w:p>
    <w:p w14:paraId="1CB333BE" w14:textId="77777777" w:rsidR="00AB7750" w:rsidRDefault="00AB7750" w:rsidP="00EF1FB7">
      <w:pPr>
        <w:pStyle w:val="Akapitzlist"/>
        <w:numPr>
          <w:ilvl w:val="0"/>
          <w:numId w:val="1"/>
        </w:numPr>
        <w:jc w:val="both"/>
      </w:pPr>
      <w:r>
        <w:t>zminimalizowanie przestojów na przejściach granicznych i usprawnienie pr</w:t>
      </w:r>
      <w:r w:rsidR="00F02931">
        <w:t>zemieszczania osób przez granicę</w:t>
      </w:r>
      <w:r>
        <w:t xml:space="preserve"> zewnętrzną UE  </w:t>
      </w:r>
    </w:p>
    <w:p w14:paraId="21D4C901" w14:textId="77777777" w:rsidR="008E05C7" w:rsidRDefault="008E05C7" w:rsidP="00EF1FB7">
      <w:pPr>
        <w:jc w:val="both"/>
      </w:pPr>
      <w:r w:rsidRPr="008E05C7">
        <w:rPr>
          <w:b/>
        </w:rPr>
        <w:t>Instytucje odpowiedzialne:</w:t>
      </w:r>
      <w:r>
        <w:t xml:space="preserve"> Inspekcja Weterynaryjna (IW), Krajowa Administracja Skarbowa(KAS), Wojewodowe odpowiedzialni za zarządzanie przejściami granicznymi</w:t>
      </w:r>
    </w:p>
    <w:p w14:paraId="7B30020D" w14:textId="77777777" w:rsidR="008E05C7" w:rsidRPr="00E71DDF" w:rsidRDefault="00F27EA5" w:rsidP="00E71DDF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Opis sytuacji</w:t>
      </w:r>
    </w:p>
    <w:p w14:paraId="7BCBB2FE" w14:textId="77777777" w:rsidR="008E05C7" w:rsidRDefault="008E05C7" w:rsidP="00EF1FB7">
      <w:pPr>
        <w:jc w:val="both"/>
      </w:pPr>
      <w:r>
        <w:t xml:space="preserve">W sytuacji masowego przemieszczania się osób z terenu Ukrainy do UE możemy mieć do czynienia z </w:t>
      </w:r>
      <w:r w:rsidRPr="00AB7750">
        <w:rPr>
          <w:b/>
        </w:rPr>
        <w:t>trzema grupami osób podróżujących</w:t>
      </w:r>
      <w:r>
        <w:t xml:space="preserve"> ze zwierzętami towarzyszącymi:</w:t>
      </w:r>
    </w:p>
    <w:p w14:paraId="509EA74B" w14:textId="77777777" w:rsidR="00D36044" w:rsidRDefault="008E05C7" w:rsidP="00D36044">
      <w:pPr>
        <w:jc w:val="both"/>
      </w:pPr>
      <w:r>
        <w:t xml:space="preserve">- obywatele UE </w:t>
      </w:r>
    </w:p>
    <w:p w14:paraId="7184CD2C" w14:textId="77777777" w:rsidR="00D36044" w:rsidRDefault="00D36044" w:rsidP="00D36044">
      <w:pPr>
        <w:jc w:val="both"/>
      </w:pPr>
      <w:r>
        <w:t xml:space="preserve">- obywatele Ukrainy </w:t>
      </w:r>
    </w:p>
    <w:p w14:paraId="0EC00487" w14:textId="77777777" w:rsidR="008E05C7" w:rsidRDefault="008E05C7" w:rsidP="00EF1FB7">
      <w:pPr>
        <w:jc w:val="both"/>
      </w:pPr>
      <w:r>
        <w:t xml:space="preserve">- obywatele </w:t>
      </w:r>
      <w:r w:rsidR="00D36044">
        <w:t xml:space="preserve">innych </w:t>
      </w:r>
      <w:r>
        <w:t>państw trzecich</w:t>
      </w:r>
      <w:r w:rsidR="00D36044">
        <w:t xml:space="preserve"> </w:t>
      </w:r>
    </w:p>
    <w:p w14:paraId="777A661D" w14:textId="77777777" w:rsidR="00F27EA5" w:rsidRDefault="00F27EA5" w:rsidP="00EF1FB7">
      <w:pPr>
        <w:jc w:val="both"/>
      </w:pPr>
      <w:r>
        <w:t>Zwierzęta towarzyszące mogą należeć do różnych gatunków, określonych w rozporządzeniu (UE) 2013/576</w:t>
      </w:r>
    </w:p>
    <w:p w14:paraId="2DAC53C8" w14:textId="77777777" w:rsidR="00F27EA5" w:rsidRPr="00D36044" w:rsidRDefault="00F27EA5" w:rsidP="00D3604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6044">
        <w:rPr>
          <w:rFonts w:eastAsia="Times New Roman" w:cstheme="minorHAnsi"/>
          <w:sz w:val="24"/>
          <w:szCs w:val="24"/>
          <w:lang w:eastAsia="pl-PL"/>
        </w:rPr>
        <w:t>zwierzę należące do gatunku: psy (</w:t>
      </w:r>
      <w:proofErr w:type="spellStart"/>
      <w:r w:rsidRPr="00D36044">
        <w:rPr>
          <w:rFonts w:eastAsia="Times New Roman" w:cstheme="minorHAnsi"/>
          <w:sz w:val="24"/>
          <w:szCs w:val="24"/>
          <w:lang w:eastAsia="pl-PL"/>
        </w:rPr>
        <w:t>Canis</w:t>
      </w:r>
      <w:proofErr w:type="spellEnd"/>
      <w:r w:rsidRPr="00D3604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36044">
        <w:rPr>
          <w:rFonts w:eastAsia="Times New Roman" w:cstheme="minorHAnsi"/>
          <w:sz w:val="24"/>
          <w:szCs w:val="24"/>
          <w:lang w:eastAsia="pl-PL"/>
        </w:rPr>
        <w:t>lupus</w:t>
      </w:r>
      <w:proofErr w:type="spellEnd"/>
      <w:r w:rsidRPr="00D36044">
        <w:rPr>
          <w:rFonts w:eastAsia="Times New Roman" w:cstheme="minorHAnsi"/>
          <w:sz w:val="24"/>
          <w:szCs w:val="24"/>
          <w:lang w:eastAsia="pl-PL"/>
        </w:rPr>
        <w:t xml:space="preserve"> familiaris), koty (Felis </w:t>
      </w:r>
      <w:proofErr w:type="spellStart"/>
      <w:r w:rsidRPr="00D36044">
        <w:rPr>
          <w:rFonts w:eastAsia="Times New Roman" w:cstheme="minorHAnsi"/>
          <w:sz w:val="24"/>
          <w:szCs w:val="24"/>
          <w:lang w:eastAsia="pl-PL"/>
        </w:rPr>
        <w:t>silvestris</w:t>
      </w:r>
      <w:proofErr w:type="spellEnd"/>
      <w:r w:rsidRPr="00D3604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36044">
        <w:rPr>
          <w:rFonts w:eastAsia="Times New Roman" w:cstheme="minorHAnsi"/>
          <w:sz w:val="24"/>
          <w:szCs w:val="24"/>
          <w:lang w:eastAsia="pl-PL"/>
        </w:rPr>
        <w:t>catus</w:t>
      </w:r>
      <w:proofErr w:type="spellEnd"/>
      <w:r w:rsidRPr="00D36044">
        <w:rPr>
          <w:rFonts w:eastAsia="Times New Roman" w:cstheme="minorHAnsi"/>
          <w:sz w:val="24"/>
          <w:szCs w:val="24"/>
          <w:lang w:eastAsia="pl-PL"/>
        </w:rPr>
        <w:t>), fretki (</w:t>
      </w:r>
      <w:proofErr w:type="spellStart"/>
      <w:r w:rsidRPr="00D36044">
        <w:rPr>
          <w:rFonts w:eastAsia="Times New Roman" w:cstheme="minorHAnsi"/>
          <w:sz w:val="24"/>
          <w:szCs w:val="24"/>
          <w:lang w:eastAsia="pl-PL"/>
        </w:rPr>
        <w:t>Mustela</w:t>
      </w:r>
      <w:proofErr w:type="spellEnd"/>
      <w:r w:rsidRPr="00D3604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D36044">
        <w:rPr>
          <w:rFonts w:eastAsia="Times New Roman" w:cstheme="minorHAnsi"/>
          <w:sz w:val="24"/>
          <w:szCs w:val="24"/>
          <w:lang w:eastAsia="pl-PL"/>
        </w:rPr>
        <w:t>putorius</w:t>
      </w:r>
      <w:proofErr w:type="spellEnd"/>
      <w:r w:rsidRPr="00D36044">
        <w:rPr>
          <w:rFonts w:eastAsia="Times New Roman" w:cstheme="minorHAnsi"/>
          <w:sz w:val="24"/>
          <w:szCs w:val="24"/>
          <w:lang w:eastAsia="pl-PL"/>
        </w:rPr>
        <w:t xml:space="preserve"> furo);</w:t>
      </w:r>
    </w:p>
    <w:p w14:paraId="4716F334" w14:textId="77777777" w:rsidR="00F27EA5" w:rsidRPr="00F27EA5" w:rsidRDefault="00F27EA5" w:rsidP="00F27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27EA5">
        <w:rPr>
          <w:rFonts w:eastAsia="Times New Roman" w:cstheme="minorHAnsi"/>
          <w:sz w:val="24"/>
          <w:szCs w:val="24"/>
          <w:lang w:eastAsia="pl-PL"/>
        </w:rPr>
        <w:t xml:space="preserve">bezkręgowce (z wyjątkiem pszczół i trzmieli objętych art. 8 </w:t>
      </w:r>
      <w:hyperlink r:id="rId5" w:tgtFrame="_blank" w:history="1">
        <w:r w:rsidRPr="00F27EA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dyrektywy 92/65/EWG</w:t>
        </w:r>
      </w:hyperlink>
      <w:r w:rsidRPr="00F27EA5">
        <w:rPr>
          <w:rFonts w:eastAsia="Times New Roman" w:cstheme="minorHAnsi"/>
          <w:sz w:val="24"/>
          <w:szCs w:val="24"/>
          <w:lang w:eastAsia="pl-PL"/>
        </w:rPr>
        <w:t xml:space="preserve"> oraz mięczaków i skorupiaków, o których mowa w art. 3 ust. 1 lit. e, </w:t>
      </w:r>
      <w:proofErr w:type="spellStart"/>
      <w:r w:rsidRPr="00F27EA5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F27EA5">
        <w:rPr>
          <w:rFonts w:eastAsia="Times New Roman" w:cstheme="minorHAnsi"/>
          <w:sz w:val="24"/>
          <w:szCs w:val="24"/>
          <w:lang w:eastAsia="pl-PL"/>
        </w:rPr>
        <w:t xml:space="preserve"> (ii) i (iii) </w:t>
      </w:r>
      <w:hyperlink r:id="rId6" w:tgtFrame="_blank" w:history="1">
        <w:r w:rsidRPr="00F27EA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dyrektywy 2006/88/WE</w:t>
        </w:r>
      </w:hyperlink>
      <w:r w:rsidRPr="00F27EA5">
        <w:rPr>
          <w:rFonts w:eastAsia="Times New Roman" w:cstheme="minorHAnsi"/>
          <w:sz w:val="24"/>
          <w:szCs w:val="24"/>
          <w:lang w:eastAsia="pl-PL"/>
        </w:rPr>
        <w:t>);</w:t>
      </w:r>
    </w:p>
    <w:p w14:paraId="567CD9AC" w14:textId="77777777" w:rsidR="00F27EA5" w:rsidRPr="00F27EA5" w:rsidRDefault="00F27EA5" w:rsidP="00F27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27EA5">
        <w:rPr>
          <w:rFonts w:eastAsia="Times New Roman" w:cstheme="minorHAnsi"/>
          <w:sz w:val="24"/>
          <w:szCs w:val="24"/>
          <w:lang w:eastAsia="pl-PL"/>
        </w:rPr>
        <w:t>ozdobne zwierzęta wodne określone w art. 3 lit. k) dyrektywy 2006/88/WE i wyłączone z zakresu stosowania tej dyrektywy na mocy jej art. 2 ust. 1 lit. a;</w:t>
      </w:r>
    </w:p>
    <w:p w14:paraId="0EB775C7" w14:textId="77777777" w:rsidR="00F27EA5" w:rsidRPr="00F27EA5" w:rsidRDefault="00F27EA5" w:rsidP="00F27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27EA5">
        <w:rPr>
          <w:rFonts w:eastAsia="Times New Roman" w:cstheme="minorHAnsi"/>
          <w:sz w:val="24"/>
          <w:szCs w:val="24"/>
          <w:lang w:eastAsia="pl-PL"/>
        </w:rPr>
        <w:t>płazy;</w:t>
      </w:r>
    </w:p>
    <w:p w14:paraId="2F2E020D" w14:textId="77777777" w:rsidR="00F27EA5" w:rsidRPr="00F27EA5" w:rsidRDefault="00F27EA5" w:rsidP="00F27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27EA5">
        <w:rPr>
          <w:rFonts w:eastAsia="Times New Roman" w:cstheme="minorHAnsi"/>
          <w:sz w:val="24"/>
          <w:szCs w:val="24"/>
          <w:lang w:eastAsia="pl-PL"/>
        </w:rPr>
        <w:t>gady;</w:t>
      </w:r>
    </w:p>
    <w:p w14:paraId="13116D64" w14:textId="77777777" w:rsidR="00F27EA5" w:rsidRPr="00F27EA5" w:rsidRDefault="00F27EA5" w:rsidP="00F27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27EA5">
        <w:rPr>
          <w:rFonts w:eastAsia="Times New Roman" w:cstheme="minorHAnsi"/>
          <w:sz w:val="24"/>
          <w:szCs w:val="24"/>
          <w:lang w:eastAsia="pl-PL"/>
        </w:rPr>
        <w:t xml:space="preserve">ptaki: przedstawiciele gatunków ptaków innych niż te, o których mowa w art. 2 </w:t>
      </w:r>
      <w:hyperlink r:id="rId7" w:tgtFrame="_blank" w:history="1">
        <w:r w:rsidRPr="00F27EA5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dyrektywy 2009/158/WE</w:t>
        </w:r>
      </w:hyperlink>
      <w:r w:rsidRPr="00F27EA5">
        <w:rPr>
          <w:rFonts w:eastAsia="Times New Roman" w:cstheme="minorHAnsi"/>
          <w:sz w:val="24"/>
          <w:szCs w:val="24"/>
          <w:lang w:eastAsia="pl-PL"/>
        </w:rPr>
        <w:t xml:space="preserve"> (drób);</w:t>
      </w:r>
    </w:p>
    <w:p w14:paraId="1E9E3F71" w14:textId="77777777" w:rsidR="00F27EA5" w:rsidRPr="00F27EA5" w:rsidRDefault="00F27EA5" w:rsidP="00F27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27EA5">
        <w:rPr>
          <w:rFonts w:eastAsia="Times New Roman" w:cstheme="minorHAnsi"/>
          <w:sz w:val="24"/>
          <w:szCs w:val="24"/>
          <w:lang w:eastAsia="pl-PL"/>
        </w:rPr>
        <w:t>ssaki: gryzonie i króliki inne niż przeznaczone do produkcji żywności,</w:t>
      </w:r>
    </w:p>
    <w:p w14:paraId="37F488AD" w14:textId="77777777" w:rsidR="00F27EA5" w:rsidRDefault="00F27EA5" w:rsidP="00EF1FB7">
      <w:pPr>
        <w:jc w:val="both"/>
      </w:pPr>
    </w:p>
    <w:p w14:paraId="3B2C1849" w14:textId="77777777" w:rsidR="008E05C7" w:rsidRPr="00F27EA5" w:rsidRDefault="00F27EA5" w:rsidP="00EF1FB7">
      <w:pPr>
        <w:jc w:val="both"/>
        <w:rPr>
          <w:b/>
        </w:rPr>
      </w:pPr>
      <w:r>
        <w:rPr>
          <w:b/>
        </w:rPr>
        <w:t xml:space="preserve">2.1. </w:t>
      </w:r>
      <w:r w:rsidRPr="00F27EA5">
        <w:rPr>
          <w:b/>
        </w:rPr>
        <w:t>Zwierzęta z gatunków psy (</w:t>
      </w:r>
      <w:proofErr w:type="spellStart"/>
      <w:r w:rsidRPr="00F27EA5">
        <w:rPr>
          <w:b/>
        </w:rPr>
        <w:t>Canis</w:t>
      </w:r>
      <w:proofErr w:type="spellEnd"/>
      <w:r w:rsidRPr="00F27EA5">
        <w:rPr>
          <w:b/>
        </w:rPr>
        <w:t xml:space="preserve"> </w:t>
      </w:r>
      <w:proofErr w:type="spellStart"/>
      <w:r w:rsidRPr="00F27EA5">
        <w:rPr>
          <w:b/>
        </w:rPr>
        <w:t>lupus</w:t>
      </w:r>
      <w:proofErr w:type="spellEnd"/>
      <w:r w:rsidRPr="00F27EA5">
        <w:rPr>
          <w:b/>
        </w:rPr>
        <w:t xml:space="preserve"> familiaris), koty (Felis </w:t>
      </w:r>
      <w:proofErr w:type="spellStart"/>
      <w:r w:rsidRPr="00F27EA5">
        <w:rPr>
          <w:b/>
        </w:rPr>
        <w:t>silvestris</w:t>
      </w:r>
      <w:proofErr w:type="spellEnd"/>
      <w:r w:rsidRPr="00F27EA5">
        <w:rPr>
          <w:b/>
        </w:rPr>
        <w:t xml:space="preserve"> </w:t>
      </w:r>
      <w:proofErr w:type="spellStart"/>
      <w:r w:rsidRPr="00F27EA5">
        <w:rPr>
          <w:b/>
        </w:rPr>
        <w:t>catus</w:t>
      </w:r>
      <w:proofErr w:type="spellEnd"/>
      <w:r w:rsidRPr="00F27EA5">
        <w:rPr>
          <w:b/>
        </w:rPr>
        <w:t>), fretki (</w:t>
      </w:r>
      <w:proofErr w:type="spellStart"/>
      <w:r w:rsidRPr="00F27EA5">
        <w:rPr>
          <w:b/>
        </w:rPr>
        <w:t>Mustela</w:t>
      </w:r>
      <w:proofErr w:type="spellEnd"/>
      <w:r w:rsidRPr="00F27EA5">
        <w:rPr>
          <w:b/>
        </w:rPr>
        <w:t xml:space="preserve"> </w:t>
      </w:r>
      <w:proofErr w:type="spellStart"/>
      <w:r w:rsidRPr="00F27EA5">
        <w:rPr>
          <w:b/>
        </w:rPr>
        <w:t>putorius</w:t>
      </w:r>
      <w:proofErr w:type="spellEnd"/>
      <w:r w:rsidRPr="00F27EA5">
        <w:rPr>
          <w:b/>
        </w:rPr>
        <w:t xml:space="preserve"> furo)</w:t>
      </w:r>
      <w:r w:rsidR="008E05C7" w:rsidRPr="00F27EA5">
        <w:rPr>
          <w:b/>
        </w:rPr>
        <w:t xml:space="preserve">  </w:t>
      </w:r>
    </w:p>
    <w:p w14:paraId="25AC6E48" w14:textId="77777777" w:rsidR="008E05C7" w:rsidRDefault="008E05C7" w:rsidP="00EF1FB7">
      <w:pPr>
        <w:jc w:val="both"/>
      </w:pPr>
      <w:r>
        <w:t>Zwierzęta</w:t>
      </w:r>
      <w:r w:rsidR="00D36044">
        <w:t xml:space="preserve"> przemieszczane w warunkach nadzwyczajnej konieczności</w:t>
      </w:r>
      <w:r>
        <w:t xml:space="preserve"> mogą </w:t>
      </w:r>
      <w:r w:rsidR="00F02931">
        <w:t>towarzyszyć podróżującym</w:t>
      </w:r>
      <w:r w:rsidRPr="00AB7750">
        <w:rPr>
          <w:b/>
        </w:rPr>
        <w:t xml:space="preserve">  w sytuacji </w:t>
      </w:r>
      <w:r w:rsidR="00AB7750" w:rsidRPr="00AB7750">
        <w:rPr>
          <w:b/>
        </w:rPr>
        <w:t>spełnienia</w:t>
      </w:r>
      <w:r w:rsidRPr="00AB7750">
        <w:rPr>
          <w:b/>
        </w:rPr>
        <w:t xml:space="preserve"> wszystkich wymagań UE,</w:t>
      </w:r>
      <w:r>
        <w:t xml:space="preserve"> tj.</w:t>
      </w:r>
    </w:p>
    <w:p w14:paraId="630F77C0" w14:textId="77777777" w:rsidR="008E05C7" w:rsidRDefault="008E05C7" w:rsidP="00EF1FB7">
      <w:pPr>
        <w:jc w:val="both"/>
      </w:pPr>
      <w:r>
        <w:t xml:space="preserve">- </w:t>
      </w:r>
      <w:r w:rsidR="00F02931">
        <w:t xml:space="preserve"> </w:t>
      </w:r>
      <w:r w:rsidR="00AB7750">
        <w:t>zwierzę</w:t>
      </w:r>
      <w:r>
        <w:t xml:space="preserve"> zostało prawidłowo oznakowane za pomocą </w:t>
      </w:r>
      <w:proofErr w:type="spellStart"/>
      <w:r>
        <w:t>mikrochipa</w:t>
      </w:r>
      <w:proofErr w:type="spellEnd"/>
    </w:p>
    <w:p w14:paraId="6371F869" w14:textId="77777777" w:rsidR="008E05C7" w:rsidRDefault="008E05C7" w:rsidP="00EF1FB7">
      <w:pPr>
        <w:jc w:val="both"/>
      </w:pPr>
      <w:r>
        <w:lastRenderedPageBreak/>
        <w:t xml:space="preserve">- </w:t>
      </w:r>
      <w:r w:rsidR="00AB7750">
        <w:t>zwierzę</w:t>
      </w:r>
      <w:r>
        <w:t xml:space="preserve"> zostało zaszczepione przeciwko wściekliźnie</w:t>
      </w:r>
      <w:r w:rsidR="00AB7750">
        <w:t xml:space="preserve"> i szczepienie jest nadal ważne </w:t>
      </w:r>
      <w:hyperlink r:id="rId8" w:history="1">
        <w:r w:rsidR="0071471B" w:rsidRPr="00573EB1">
          <w:rPr>
            <w:rStyle w:val="Hipercze"/>
          </w:rPr>
          <w:t>https://www.wetgiw.gov.pl/nadzor-weterynaryjny/szczepienie-na-wscieklizne</w:t>
        </w:r>
      </w:hyperlink>
    </w:p>
    <w:p w14:paraId="2653B10F" w14:textId="77777777" w:rsidR="006720A6" w:rsidRDefault="00AB7750" w:rsidP="00EF1FB7">
      <w:pPr>
        <w:jc w:val="both"/>
      </w:pPr>
      <w:r>
        <w:t xml:space="preserve">- zwierzę posiada aktualny wynik badania serologicznego w kierunku oznaczenia miana przeciwciał przeciwko wściekliźnie </w:t>
      </w:r>
      <w:hyperlink r:id="rId9" w:history="1">
        <w:r w:rsidR="0071471B" w:rsidRPr="00573EB1">
          <w:rPr>
            <w:rStyle w:val="Hipercze"/>
          </w:rPr>
          <w:t>https://www.wetgiw.gov.pl/nadzor-weterynaryjny/badanie-poziomu-przeciwcial</w:t>
        </w:r>
      </w:hyperlink>
    </w:p>
    <w:p w14:paraId="73BC48EA" w14:textId="77777777" w:rsidR="00AB7750" w:rsidRDefault="00AB7750" w:rsidP="00EF1FB7">
      <w:pPr>
        <w:jc w:val="both"/>
      </w:pPr>
      <w:r>
        <w:t xml:space="preserve">- zwierzę jest zaopatrzone w ważny paszport wydany w jednym z państw członkowskich UE </w:t>
      </w:r>
      <w:hyperlink r:id="rId10" w:history="1">
        <w:r w:rsidR="0071471B" w:rsidRPr="00573EB1">
          <w:rPr>
            <w:rStyle w:val="Hipercze"/>
          </w:rPr>
          <w:t>https://www.wetgiw.gov.pl/nadzor-weterynaryjny/dokumenty-identyfikacyjne</w:t>
        </w:r>
      </w:hyperlink>
      <w:r w:rsidR="0071471B">
        <w:t xml:space="preserve"> </w:t>
      </w:r>
      <w:r>
        <w:t xml:space="preserve">lub w świadectwo zdrowia zgodne ze wzorem określonym w prawie UE </w:t>
      </w:r>
      <w:hyperlink r:id="rId11" w:history="1">
        <w:r w:rsidR="0071471B" w:rsidRPr="00573EB1">
          <w:rPr>
            <w:rStyle w:val="Hipercze"/>
          </w:rPr>
          <w:t>https://www.wetgiw.gov.pl/nadzor-weterynaryjny/swiadectwo-zdrowia</w:t>
        </w:r>
      </w:hyperlink>
    </w:p>
    <w:p w14:paraId="19462941" w14:textId="77777777" w:rsidR="0071471B" w:rsidRDefault="0071471B" w:rsidP="00EF1FB7">
      <w:pPr>
        <w:jc w:val="both"/>
      </w:pPr>
    </w:p>
    <w:p w14:paraId="33A959FD" w14:textId="77777777" w:rsidR="00F27EA5" w:rsidRDefault="00AB7750" w:rsidP="00EF1FB7">
      <w:pPr>
        <w:jc w:val="both"/>
        <w:rPr>
          <w:b/>
        </w:rPr>
      </w:pPr>
      <w:r>
        <w:t xml:space="preserve">Lub w sytuacji, gdy </w:t>
      </w:r>
      <w:r w:rsidRPr="00AB7750">
        <w:rPr>
          <w:b/>
        </w:rPr>
        <w:t>jeden lub więcej z powyższych wymogów nie został spełniony</w:t>
      </w:r>
    </w:p>
    <w:p w14:paraId="02EDFB4E" w14:textId="77777777" w:rsidR="00AB7750" w:rsidRDefault="00AB7750" w:rsidP="00EF1FB7">
      <w:pPr>
        <w:jc w:val="both"/>
      </w:pPr>
      <w:r>
        <w:t xml:space="preserve"> </w:t>
      </w:r>
    </w:p>
    <w:p w14:paraId="7ECEA23E" w14:textId="77777777" w:rsidR="00E71DDF" w:rsidRPr="00F02931" w:rsidRDefault="00F02931" w:rsidP="00F02931">
      <w:pPr>
        <w:jc w:val="both"/>
        <w:rPr>
          <w:b/>
        </w:rPr>
      </w:pPr>
      <w:r>
        <w:rPr>
          <w:b/>
        </w:rPr>
        <w:t>2.2.</w:t>
      </w:r>
      <w:r w:rsidR="00F27EA5" w:rsidRPr="00F02931">
        <w:rPr>
          <w:b/>
        </w:rPr>
        <w:t xml:space="preserve"> </w:t>
      </w:r>
      <w:r w:rsidR="00E71DDF" w:rsidRPr="00F02931">
        <w:rPr>
          <w:b/>
        </w:rPr>
        <w:t xml:space="preserve">Odstępstwa od standardowych wymagań dla psów, kotów i fretek z uwagi na sytuację nadzwyczajną: </w:t>
      </w:r>
    </w:p>
    <w:p w14:paraId="58332C98" w14:textId="65E3BCF5" w:rsidR="00E71DDF" w:rsidRDefault="00E71DDF" w:rsidP="00E71DDF">
      <w:pPr>
        <w:jc w:val="both"/>
      </w:pPr>
      <w:r>
        <w:t>Zwierzęta przemieszczane w czasie trwania konfliktu militarnego nie muszą być zaopatrzone w wynik badania serologicznego  w kierunku oznaczenia miana przeciwciał przeciwko wściekliźnie</w:t>
      </w:r>
      <w:r w:rsidR="00ED1A1F">
        <w:t>.</w:t>
      </w:r>
    </w:p>
    <w:p w14:paraId="3E42AEBE" w14:textId="77777777" w:rsidR="00AB7750" w:rsidRPr="00F02931" w:rsidRDefault="00EF1FB7" w:rsidP="00F02931">
      <w:pPr>
        <w:pStyle w:val="Akapitzlist"/>
        <w:numPr>
          <w:ilvl w:val="1"/>
          <w:numId w:val="6"/>
        </w:numPr>
        <w:jc w:val="both"/>
        <w:rPr>
          <w:b/>
        </w:rPr>
      </w:pPr>
      <w:r w:rsidRPr="00F02931">
        <w:rPr>
          <w:b/>
        </w:rPr>
        <w:t xml:space="preserve">Postepowanie w sytuacji niespełnienia wymogów </w:t>
      </w:r>
    </w:p>
    <w:p w14:paraId="1F367B9A" w14:textId="77777777" w:rsidR="00AB7750" w:rsidRDefault="00AB7750" w:rsidP="00EF1FB7">
      <w:pPr>
        <w:jc w:val="both"/>
      </w:pPr>
      <w:r>
        <w:t>Za minimalny wymóg, kiedy zwierzę może zostać wprowadzone na teren UE należy uznać zwierzę</w:t>
      </w:r>
      <w:r w:rsidR="00EF1FB7">
        <w:t xml:space="preserve"> oznakowane </w:t>
      </w:r>
      <w:proofErr w:type="spellStart"/>
      <w:r w:rsidR="00EF1FB7">
        <w:t>mikrochipem</w:t>
      </w:r>
      <w:proofErr w:type="spellEnd"/>
      <w:r>
        <w:t>, któremu towarzyszy dokument potwierdzający wykonanie szczepienia przeciwko wściekliźnie nie wcześniej niż 12 miesięcy przed dniem przemieszczania.</w:t>
      </w:r>
      <w:r w:rsidR="00EF1FB7">
        <w:t xml:space="preserve"> Musi być możliwość weryfikacji tożsamości zwierzęcia tj. powiązania szczepienia z oznakowaniem.</w:t>
      </w:r>
      <w:r w:rsidR="0071471B">
        <w:t xml:space="preserve"> Kontroli spełnienia ww. wymagań dokonują funkcjonariusze celno-skarbowi. </w:t>
      </w:r>
    </w:p>
    <w:p w14:paraId="08308EDA" w14:textId="77777777" w:rsidR="00FD1BD7" w:rsidRDefault="00FD1BD7" w:rsidP="00EF1FB7">
      <w:pPr>
        <w:jc w:val="both"/>
      </w:pPr>
      <w:r>
        <w:t xml:space="preserve">W celu ustalenia statusu zdrowotnego zwierzęcia towarzyszącego podróżnemu i objęcia stosownym nadzorem </w:t>
      </w:r>
      <w:r w:rsidRPr="00D4008D">
        <w:rPr>
          <w:b/>
        </w:rPr>
        <w:t>każdy podróżny, którego zwierzę nie spełnia jednego lub więcej wymagań przywozowych zobowiązany jest do wypełnienia oświadczenia, którego wzór stanowi załącznik do niniejszej  procedury.</w:t>
      </w:r>
    </w:p>
    <w:p w14:paraId="49E4F4BF" w14:textId="77777777" w:rsidR="00D4008D" w:rsidRDefault="00FD1BD7" w:rsidP="00EF1FB7">
      <w:pPr>
        <w:jc w:val="both"/>
        <w:rPr>
          <w:u w:val="single"/>
        </w:rPr>
      </w:pPr>
      <w:r w:rsidRPr="00D4008D">
        <w:rPr>
          <w:u w:val="single"/>
        </w:rPr>
        <w:t xml:space="preserve">W sytuacji kiedy podróżny jest w stanie wskazać adres miejsca pobytu zwierzęcia </w:t>
      </w:r>
      <w:r w:rsidR="00D4008D">
        <w:rPr>
          <w:u w:val="single"/>
        </w:rPr>
        <w:t>na terenie Polski:</w:t>
      </w:r>
    </w:p>
    <w:p w14:paraId="6F8E1C06" w14:textId="77777777" w:rsidR="00FD1BD7" w:rsidRPr="00D4008D" w:rsidRDefault="00FD1BD7" w:rsidP="00EF1FB7">
      <w:pPr>
        <w:jc w:val="both"/>
        <w:rPr>
          <w:u w:val="single"/>
        </w:rPr>
      </w:pPr>
      <w:r w:rsidRPr="00D4008D">
        <w:rPr>
          <w:u w:val="single"/>
        </w:rPr>
        <w:t xml:space="preserve"> </w:t>
      </w:r>
      <w:r w:rsidR="00D4008D">
        <w:t>I</w:t>
      </w:r>
      <w:r w:rsidRPr="00D4008D">
        <w:t xml:space="preserve">nformacja </w:t>
      </w:r>
      <w:r w:rsidR="00D4008D" w:rsidRPr="00D4008D">
        <w:t xml:space="preserve">dotycząca przemieszczenia </w:t>
      </w:r>
      <w:r w:rsidR="00D4008D">
        <w:t xml:space="preserve">zwierzęcia zawarta w oświadczeniu </w:t>
      </w:r>
      <w:r w:rsidRPr="00D4008D">
        <w:t>przekazywana jest do właściwego terytorialnie powiatowego lekarza weterynarii</w:t>
      </w:r>
      <w:r w:rsidR="00DB2CD2">
        <w:t xml:space="preserve"> wraz z dokumentem</w:t>
      </w:r>
      <w:r w:rsidR="00087C71">
        <w:t xml:space="preserve"> zawierającym decyzję PLW właściwego terytorialnie dla miejsca przekroczenia granicy zewnętrznej UE </w:t>
      </w:r>
      <w:r w:rsidR="00DB2CD2">
        <w:t xml:space="preserve"> </w:t>
      </w:r>
      <w:r w:rsidRPr="00D4008D">
        <w:t>.</w:t>
      </w:r>
    </w:p>
    <w:p w14:paraId="39D60DD0" w14:textId="77777777" w:rsidR="00FD1BD7" w:rsidRDefault="00FD1BD7" w:rsidP="00EF1FB7">
      <w:pPr>
        <w:jc w:val="both"/>
      </w:pPr>
      <w:r>
        <w:t xml:space="preserve">PLW dokonuje objęcia zwierzęcia izolacją, oraz nadzoruje wykonanie czynności warunkujących spełnienie wymagań przez zwierzę tj. </w:t>
      </w:r>
    </w:p>
    <w:p w14:paraId="63DCB34F" w14:textId="77777777" w:rsidR="00FD1BD7" w:rsidRDefault="00FD1BD7" w:rsidP="00EF1FB7">
      <w:pPr>
        <w:jc w:val="both"/>
      </w:pPr>
      <w:r>
        <w:t>- oznakowanie zwierzęcia (jeśli brak jest transpondera lub jest nieczytelny)</w:t>
      </w:r>
    </w:p>
    <w:p w14:paraId="24D7DA3B" w14:textId="77777777" w:rsidR="00FD1BD7" w:rsidRDefault="00FD1BD7" w:rsidP="00EF1FB7">
      <w:pPr>
        <w:jc w:val="both"/>
      </w:pPr>
      <w:r>
        <w:t>- zaszczepienie przeciwko wściekliźnie (jeśli szczepienia nie można udokumentować lub jest nieważne)</w:t>
      </w:r>
    </w:p>
    <w:p w14:paraId="07DBDEEE" w14:textId="77777777" w:rsidR="00FD1BD7" w:rsidRDefault="00FD1BD7" w:rsidP="00EF1FB7">
      <w:pPr>
        <w:jc w:val="both"/>
      </w:pPr>
      <w:r>
        <w:t>- pobrania krwi do badania serologicznego w kierunku oznaczenia poziomu przeciwciał przeciwko wściekliźnie wykonanego przez zatwierdzone laboratorium</w:t>
      </w:r>
    </w:p>
    <w:p w14:paraId="19040D9B" w14:textId="77777777" w:rsidR="00FD1BD7" w:rsidRDefault="00FD1BD7" w:rsidP="00EF1FB7">
      <w:pPr>
        <w:jc w:val="both"/>
      </w:pPr>
      <w:r>
        <w:t>Po uzyskaniu wyniku badania serologicznego, zgodnie z którym poziom przeciwciał zaświadcza o nabytej odporności, zwierzę zostaje zwolnione z izolacji</w:t>
      </w:r>
      <w:r w:rsidR="00D4008D">
        <w:t xml:space="preserve"> a zwierzęciu zostają wydane dokumenty potwierdzające spełnienie wymogów</w:t>
      </w:r>
      <w:r>
        <w:t xml:space="preserve">. </w:t>
      </w:r>
    </w:p>
    <w:p w14:paraId="4B8AAF2D" w14:textId="77777777" w:rsidR="00D4008D" w:rsidRDefault="00D4008D" w:rsidP="00EF1FB7">
      <w:pPr>
        <w:jc w:val="both"/>
        <w:rPr>
          <w:u w:val="single"/>
        </w:rPr>
      </w:pPr>
      <w:r w:rsidRPr="00D4008D">
        <w:rPr>
          <w:u w:val="single"/>
        </w:rPr>
        <w:t>W sytuacji kiedy podróżny nie jest w stanie wskazać adresu miejsca pobytu zwierzęcia na terenie Polski</w:t>
      </w:r>
      <w:r>
        <w:rPr>
          <w:u w:val="single"/>
        </w:rPr>
        <w:t xml:space="preserve"> </w:t>
      </w:r>
    </w:p>
    <w:p w14:paraId="226F3036" w14:textId="77777777" w:rsidR="00D4008D" w:rsidRPr="00D4008D" w:rsidRDefault="00D4008D" w:rsidP="00EF1FB7">
      <w:pPr>
        <w:jc w:val="both"/>
      </w:pPr>
      <w:r>
        <w:t xml:space="preserve">Urzędowy lekarz weterynarii dokonuje oznakowania i zaszczepienia zwierzęcia ( w sytuacjach wskazanych powyżej) w miejscu tymczasowego pobytu zwierzęcia wraz z właściciele/opiekunem po przekroczeniu granicy  </w:t>
      </w:r>
    </w:p>
    <w:p w14:paraId="1E993972" w14:textId="77777777" w:rsidR="00EF1FB7" w:rsidRDefault="00EF1FB7" w:rsidP="00EF1FB7">
      <w:pPr>
        <w:jc w:val="both"/>
      </w:pPr>
      <w:r>
        <w:t xml:space="preserve">Koszty związane z ww. </w:t>
      </w:r>
      <w:r w:rsidRPr="00FD1BD7">
        <w:t xml:space="preserve">czynnościami są pokrywane z budżetu państwa </w:t>
      </w:r>
    </w:p>
    <w:p w14:paraId="773D9C3C" w14:textId="77777777" w:rsidR="0071471B" w:rsidRDefault="00CD07E2" w:rsidP="00EF1FB7">
      <w:pPr>
        <w:jc w:val="both"/>
      </w:pPr>
      <w:r>
        <w:t xml:space="preserve">Załącznik stanowiący wzór oświadczenia właściciela/opiekuna zwierzęcia stanowi załącznik stanowi załącznik do </w:t>
      </w:r>
      <w:r w:rsidR="00E2085C">
        <w:t>procedury</w:t>
      </w:r>
    </w:p>
    <w:p w14:paraId="119F9120" w14:textId="77777777" w:rsidR="0071471B" w:rsidRPr="00F27EA5" w:rsidRDefault="0071471B" w:rsidP="00F02931">
      <w:pPr>
        <w:pStyle w:val="Akapitzlist"/>
        <w:numPr>
          <w:ilvl w:val="1"/>
          <w:numId w:val="6"/>
        </w:numPr>
        <w:jc w:val="both"/>
        <w:rPr>
          <w:b/>
        </w:rPr>
      </w:pPr>
      <w:r w:rsidRPr="00F27EA5">
        <w:rPr>
          <w:b/>
        </w:rPr>
        <w:t xml:space="preserve">Postępowanie ze zwierzętami poniżej 12 tygodnia życia </w:t>
      </w:r>
    </w:p>
    <w:p w14:paraId="318F3EAF" w14:textId="25F69001" w:rsidR="0071471B" w:rsidRDefault="00ED1A1F" w:rsidP="00EF1FB7">
      <w:pPr>
        <w:jc w:val="both"/>
      </w:pPr>
      <w:r>
        <w:t>Zwierzęta opisane w pkt 2 A:</w:t>
      </w:r>
    </w:p>
    <w:p w14:paraId="7EFF365A" w14:textId="368A7311" w:rsidR="00ED1A1F" w:rsidRDefault="00ED1A1F" w:rsidP="00EF1FB7">
      <w:pPr>
        <w:jc w:val="both"/>
      </w:pPr>
      <w:r>
        <w:t>- do 8 tygodnia życia poza wypełnienie wniosku żadnych dodatkowych procedur,</w:t>
      </w:r>
    </w:p>
    <w:p w14:paraId="786D1170" w14:textId="47400168" w:rsidR="00ED1A1F" w:rsidRDefault="00ED1A1F" w:rsidP="00EF1FB7">
      <w:pPr>
        <w:jc w:val="both"/>
      </w:pPr>
      <w:r>
        <w:t>- od 8 do 12 tygodnia życia jak w pkt 2.2 i 2.3.</w:t>
      </w:r>
    </w:p>
    <w:p w14:paraId="5F64930B" w14:textId="77777777" w:rsidR="00F02931" w:rsidRDefault="00F02931" w:rsidP="00F02931">
      <w:pPr>
        <w:pStyle w:val="Akapitzlist"/>
        <w:numPr>
          <w:ilvl w:val="1"/>
          <w:numId w:val="6"/>
        </w:numPr>
        <w:jc w:val="both"/>
      </w:pPr>
      <w:r w:rsidRPr="00F02931">
        <w:rPr>
          <w:b/>
        </w:rPr>
        <w:t>Postepowanie ze zwierzętami wprowadzonymi nielegalnie</w:t>
      </w:r>
      <w:r>
        <w:t xml:space="preserve"> ( w przypadku wykrycia nielegalnego przekroczenia granicy przez właściciela lub opiekuna zwierzęcia) </w:t>
      </w:r>
    </w:p>
    <w:p w14:paraId="3069F42C" w14:textId="77777777" w:rsidR="00F02931" w:rsidRPr="00F02931" w:rsidRDefault="00F02931" w:rsidP="00F02931">
      <w:pPr>
        <w:pStyle w:val="Akapitzlist"/>
        <w:ind w:left="360"/>
        <w:jc w:val="both"/>
      </w:pPr>
      <w:r w:rsidRPr="00F02931">
        <w:t>Organ , który ujawnił nielegalne przekroczenie granicy , w przypadku wykrycia posiadania przez osobę zatrzymaną zwierzęcia lub zwierząt</w:t>
      </w:r>
      <w:r>
        <w:t>,</w:t>
      </w:r>
      <w:r w:rsidRPr="00F02931">
        <w:t xml:space="preserve"> powiadamia o tym właściwego terytorialnie Powiatowego lekarza Weterynarii, który </w:t>
      </w:r>
      <w:r>
        <w:t xml:space="preserve">podejmuje decyzje o dalszym postepowaniu ze zwierzęciem. </w:t>
      </w:r>
      <w:r w:rsidRPr="00726E2F">
        <w:t>(</w:t>
      </w:r>
      <w:r w:rsidR="00726E2F">
        <w:t>umieszczenie</w:t>
      </w:r>
      <w:r w:rsidR="003E1089">
        <w:t xml:space="preserve"> w schronisku lub azylu dla zwierząt. W ostateczności eutanazja</w:t>
      </w:r>
      <w:r w:rsidR="00726E2F">
        <w:t>)</w:t>
      </w:r>
    </w:p>
    <w:p w14:paraId="6BC91A64" w14:textId="77777777" w:rsidR="00E71DDF" w:rsidRDefault="00E71DDF" w:rsidP="00F02931">
      <w:pPr>
        <w:pStyle w:val="Akapitzlist"/>
        <w:numPr>
          <w:ilvl w:val="0"/>
          <w:numId w:val="6"/>
        </w:numPr>
        <w:jc w:val="both"/>
        <w:rPr>
          <w:b/>
        </w:rPr>
      </w:pPr>
      <w:r w:rsidRPr="00E71DDF">
        <w:rPr>
          <w:b/>
        </w:rPr>
        <w:t xml:space="preserve">Pozostałe gatunki zwierząt przemieszczanych jako towarzyszące </w:t>
      </w:r>
    </w:p>
    <w:p w14:paraId="1D066970" w14:textId="77777777" w:rsidR="00E71DDF" w:rsidRDefault="00E71DDF" w:rsidP="00726E2F">
      <w:pPr>
        <w:pStyle w:val="Akapitzlist"/>
        <w:ind w:left="1080"/>
        <w:jc w:val="both"/>
        <w:rPr>
          <w:b/>
        </w:rPr>
      </w:pPr>
      <w:r>
        <w:rPr>
          <w:b/>
        </w:rPr>
        <w:t xml:space="preserve">Pozostałe </w:t>
      </w:r>
      <w:r w:rsidR="00F27EA5">
        <w:rPr>
          <w:b/>
        </w:rPr>
        <w:t>(</w:t>
      </w:r>
      <w:r w:rsidR="00F02931">
        <w:rPr>
          <w:b/>
        </w:rPr>
        <w:t>gryzonie</w:t>
      </w:r>
      <w:r w:rsidR="00F27EA5">
        <w:rPr>
          <w:b/>
        </w:rPr>
        <w:t xml:space="preserve">, króliki, płazy, gady, </w:t>
      </w:r>
      <w:r w:rsidR="00F02931">
        <w:rPr>
          <w:b/>
        </w:rPr>
        <w:t xml:space="preserve">ozdobne zwierzęta wodne, </w:t>
      </w:r>
      <w:r w:rsidR="00F27EA5">
        <w:rPr>
          <w:b/>
        </w:rPr>
        <w:t>bezkręgowce)</w:t>
      </w:r>
    </w:p>
    <w:p w14:paraId="1A07B1F3" w14:textId="77777777" w:rsidR="00726E2F" w:rsidRPr="00F27EA5" w:rsidRDefault="00E71DDF" w:rsidP="00726E2F">
      <w:pPr>
        <w:pStyle w:val="Akapitzlist"/>
        <w:ind w:left="1080"/>
        <w:jc w:val="both"/>
        <w:rPr>
          <w:b/>
          <w:highlight w:val="yellow"/>
        </w:rPr>
      </w:pPr>
      <w:r w:rsidRPr="00E71DDF">
        <w:t xml:space="preserve">Z uwagi na brak zagrożenia związanego z </w:t>
      </w:r>
      <w:r>
        <w:t xml:space="preserve">potencjalnym przeniesieniem </w:t>
      </w:r>
      <w:r w:rsidR="00F27EA5">
        <w:t xml:space="preserve">chorób zakaźnych niebezpiecznych dla ludzi lub zwierząt </w:t>
      </w:r>
      <w:r>
        <w:t xml:space="preserve">wirusa wścieklizny wprowadza się czasowe </w:t>
      </w:r>
      <w:r w:rsidRPr="00726E2F">
        <w:t>zwolnienie z</w:t>
      </w:r>
      <w:r w:rsidR="00F27EA5" w:rsidRPr="00726E2F">
        <w:t xml:space="preserve"> obowiązku posiadania pozwolenia Głównego Lekarza Weterynarii na wwóz.</w:t>
      </w:r>
      <w:r w:rsidRPr="00726E2F">
        <w:t xml:space="preserve"> </w:t>
      </w:r>
      <w:r w:rsidR="00726E2F" w:rsidRPr="00726E2F">
        <w:t xml:space="preserve">Jeśli będą jakieś  gatunki objęte ograniczeniami z uwagi na Konwencję Waszyngtońska CITES bez wymaganych  zezwoleń- decyzję pozdejmuje Krajowa Administracja Skarbowa  </w:t>
      </w:r>
    </w:p>
    <w:p w14:paraId="34427CF6" w14:textId="77777777" w:rsidR="00E71DDF" w:rsidRPr="00E71DDF" w:rsidRDefault="00E71DDF" w:rsidP="00E71DDF">
      <w:pPr>
        <w:pStyle w:val="Akapitzlist"/>
        <w:jc w:val="both"/>
      </w:pPr>
    </w:p>
    <w:p w14:paraId="75C0C05B" w14:textId="77777777" w:rsidR="00E71DDF" w:rsidRPr="0071471B" w:rsidRDefault="00E71DDF" w:rsidP="0071471B">
      <w:pPr>
        <w:jc w:val="both"/>
      </w:pPr>
    </w:p>
    <w:sectPr w:rsidR="00E71DDF" w:rsidRPr="0071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95F"/>
    <w:multiLevelType w:val="hybridMultilevel"/>
    <w:tmpl w:val="73FE6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71AC5"/>
    <w:multiLevelType w:val="multilevel"/>
    <w:tmpl w:val="6A9EA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077120B"/>
    <w:multiLevelType w:val="hybridMultilevel"/>
    <w:tmpl w:val="A732A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235D5"/>
    <w:multiLevelType w:val="multilevel"/>
    <w:tmpl w:val="504A8E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E31E6"/>
    <w:multiLevelType w:val="hybridMultilevel"/>
    <w:tmpl w:val="A6AA3236"/>
    <w:lvl w:ilvl="0" w:tplc="E7F43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87434"/>
    <w:multiLevelType w:val="multilevel"/>
    <w:tmpl w:val="808A9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C7"/>
    <w:rsid w:val="00087C71"/>
    <w:rsid w:val="001A43AD"/>
    <w:rsid w:val="003E1089"/>
    <w:rsid w:val="006720A6"/>
    <w:rsid w:val="0071471B"/>
    <w:rsid w:val="00726E2F"/>
    <w:rsid w:val="008E05C7"/>
    <w:rsid w:val="008E3711"/>
    <w:rsid w:val="00AB7750"/>
    <w:rsid w:val="00BE0EB5"/>
    <w:rsid w:val="00C242FD"/>
    <w:rsid w:val="00CD07E2"/>
    <w:rsid w:val="00D36044"/>
    <w:rsid w:val="00D4008D"/>
    <w:rsid w:val="00DB2CD2"/>
    <w:rsid w:val="00E2085C"/>
    <w:rsid w:val="00E56404"/>
    <w:rsid w:val="00E71DDF"/>
    <w:rsid w:val="00ED1A1F"/>
    <w:rsid w:val="00EF1FB7"/>
    <w:rsid w:val="00F02931"/>
    <w:rsid w:val="00F27EA5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3AA4"/>
  <w15:chartTrackingRefBased/>
  <w15:docId w15:val="{9B57CDA3-13B7-4A3B-8161-A2B10073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7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7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nadzor-weterynaryjny/szczepienie-na-wsciekliz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search.html?DTN=0158&amp;DTA=2009&amp;qid=1502433084301&amp;DB_TYPE_OF_ACT=directive&amp;CASE_LAW_SUMMARY=false&amp;DTS_DOM=ALL&amp;excConsLeg=true&amp;typeOfActStatus=DIRECTIVE&amp;type=advanced&amp;SUBDOM_INIT=ALL_ALL&amp;DTS_SUBDOM=ALL_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search.html?DTN=0088&amp;DTA=2006&amp;qid=1502433009049&amp;DB_TYPE_OF_ACT=directive&amp;CASE_LAW_SUMMARY=false&amp;DTS_DOM=ALL&amp;excConsLeg=true&amp;typeOfActStatus=DIRECTIVE&amp;type=advanced&amp;SUBDOM_INIT=ALL_ALL&amp;DTS_SUBDOM=ALL_ALL" TargetMode="External"/><Relationship Id="rId11" Type="http://schemas.openxmlformats.org/officeDocument/2006/relationships/hyperlink" Target="https://www.wetgiw.gov.pl/nadzor-weterynaryjny/swiadectwo-zdrowia" TargetMode="External"/><Relationship Id="rId5" Type="http://schemas.openxmlformats.org/officeDocument/2006/relationships/hyperlink" Target="http://eur-lex.europa.eu/search.html?DTN=0065&amp;DTA=1992&amp;qid=1502432958190&amp;DB_TYPE_OF_ACT=directive&amp;CASE_LAW_SUMMARY=false&amp;DTS_DOM=ALL&amp;excConsLeg=true&amp;typeOfActStatus=DIRECTIVE&amp;type=advanced&amp;SUBDOM_INIT=ALL_ALL&amp;DTS_SUBDOM=ALL_ALL" TargetMode="External"/><Relationship Id="rId10" Type="http://schemas.openxmlformats.org/officeDocument/2006/relationships/hyperlink" Target="https://www.wetgiw.gov.pl/nadzor-weterynaryjny/dokumenty-identyfikacyj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tgiw.gov.pl/nadzor-weterynaryjny/badanie-poziomu-przeciwci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monika.marks</dc:creator>
  <cp:keywords/>
  <dc:description/>
  <cp:lastModifiedBy>Katarzyna Stachurska</cp:lastModifiedBy>
  <cp:revision>2</cp:revision>
  <cp:lastPrinted>2022-02-24T11:34:00Z</cp:lastPrinted>
  <dcterms:created xsi:type="dcterms:W3CDTF">2022-02-24T13:36:00Z</dcterms:created>
  <dcterms:modified xsi:type="dcterms:W3CDTF">2022-02-24T13:36:00Z</dcterms:modified>
</cp:coreProperties>
</file>