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E" w:rsidRPr="00DA5D49" w:rsidRDefault="00D510A3" w:rsidP="00E33A0E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Podstawy prawne:</w:t>
      </w:r>
    </w:p>
    <w:p w:rsidR="00E33A0E" w:rsidRPr="00DA5D49" w:rsidRDefault="00E33A0E" w:rsidP="00E33A0E">
      <w:pPr>
        <w:pStyle w:val="Default"/>
        <w:rPr>
          <w:rFonts w:ascii="Bookman Old Style" w:hAnsi="Bookman Old Style"/>
          <w:sz w:val="22"/>
          <w:szCs w:val="22"/>
        </w:rPr>
      </w:pPr>
    </w:p>
    <w:p w:rsidR="00E33A0E" w:rsidRPr="00DA5D49" w:rsidRDefault="00E33A0E" w:rsidP="00E33A0E">
      <w:pPr>
        <w:pStyle w:val="Default"/>
        <w:rPr>
          <w:rFonts w:ascii="Bookman Old Style" w:hAnsi="Bookman Old Style"/>
          <w:sz w:val="22"/>
          <w:szCs w:val="22"/>
        </w:rPr>
      </w:pPr>
    </w:p>
    <w:p w:rsidR="00E33A0E" w:rsidRPr="00DA5D49" w:rsidRDefault="00E33A0E" w:rsidP="00DA5D49">
      <w:pPr>
        <w:pStyle w:val="Default"/>
        <w:numPr>
          <w:ilvl w:val="0"/>
          <w:numId w:val="4"/>
        </w:numPr>
        <w:jc w:val="center"/>
        <w:rPr>
          <w:rFonts w:ascii="Bookman Old Style" w:hAnsi="Bookman Old Style"/>
          <w:sz w:val="22"/>
          <w:szCs w:val="22"/>
        </w:rPr>
      </w:pPr>
      <w:r w:rsidRPr="00DA5D49">
        <w:rPr>
          <w:rFonts w:ascii="Bookman Old Style" w:hAnsi="Bookman Old Style"/>
          <w:b/>
          <w:bCs/>
          <w:sz w:val="22"/>
          <w:szCs w:val="22"/>
        </w:rPr>
        <w:t>ROZPORZĄDZENIE PARLAMENTU EUROPEJSKIEGO I RADY (WE) nr 1069/2009</w:t>
      </w:r>
      <w:r w:rsidR="00182CC6" w:rsidRPr="00DA5D4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DA5D49">
        <w:rPr>
          <w:rFonts w:ascii="Bookman Old Style" w:hAnsi="Bookman Old Style"/>
          <w:b/>
          <w:bCs/>
          <w:sz w:val="22"/>
          <w:szCs w:val="22"/>
        </w:rPr>
        <w:t>z dnia 21 października 2009 r.</w:t>
      </w:r>
    </w:p>
    <w:p w:rsidR="00F0128E" w:rsidRPr="00DA5D49" w:rsidRDefault="00E33A0E" w:rsidP="00DA5D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i/>
        </w:rPr>
      </w:pPr>
      <w:r w:rsidRPr="00DA5D49">
        <w:rPr>
          <w:rFonts w:ascii="Bookman Old Style" w:hAnsi="Bookman Old Style"/>
          <w:b/>
          <w:bCs/>
          <w:i/>
        </w:rPr>
        <w:t>określające przepisy sanitarne dotyczące produktów ubocznych pochodzenia zwierzęcego, nieprzeznaczonych do spożycia przez ludzi, i uchylające rozporządzenie (WE) nr 1774/2002 (rozporządzenie o produktach ubocznych pochodzenia zwierzęcego)</w:t>
      </w:r>
    </w:p>
    <w:p w:rsidR="00182CC6" w:rsidRPr="00DA5D49" w:rsidRDefault="00182CC6" w:rsidP="00DA5D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82CC6" w:rsidRPr="00DA5D49" w:rsidRDefault="00182CC6" w:rsidP="00DA5D4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EUAlbertina"/>
          <w:color w:val="000000"/>
        </w:rPr>
      </w:pPr>
    </w:p>
    <w:p w:rsidR="00182CC6" w:rsidRPr="00DA5D49" w:rsidRDefault="00182CC6" w:rsidP="00DA5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center"/>
        <w:rPr>
          <w:rFonts w:ascii="Bookman Old Style" w:hAnsi="Bookman Old Style" w:cs="EUAlbertina"/>
          <w:color w:val="000000"/>
        </w:rPr>
      </w:pPr>
      <w:r w:rsidRPr="00DA5D49">
        <w:rPr>
          <w:rFonts w:ascii="Bookman Old Style" w:hAnsi="Bookman Old Style" w:cs="EUAlbertina"/>
          <w:b/>
          <w:bCs/>
          <w:color w:val="000000"/>
        </w:rPr>
        <w:t>ROZPORZĄDZENIE KOMISJI (UE) NR 142/2011  z dnia 25 lutego 2011 r.</w:t>
      </w:r>
    </w:p>
    <w:p w:rsidR="00182CC6" w:rsidRPr="00DA5D49" w:rsidRDefault="00182CC6" w:rsidP="00DA5D4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theme="minorHAnsi"/>
          <w:b/>
          <w:bCs/>
          <w:i/>
        </w:rPr>
      </w:pPr>
      <w:r w:rsidRPr="00DA5D49">
        <w:rPr>
          <w:rFonts w:ascii="Bookman Old Style" w:hAnsi="Bookman Old Style" w:cstheme="minorHAnsi"/>
          <w:b/>
          <w:bCs/>
          <w:i/>
          <w:color w:val="000000"/>
        </w:rPr>
        <w:t>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tej dyrektywy</w:t>
      </w:r>
    </w:p>
    <w:p w:rsidR="00182CC6" w:rsidRDefault="00182CC6" w:rsidP="00E33A0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</w:rPr>
      </w:pPr>
    </w:p>
    <w:p w:rsidR="000E6B91" w:rsidRPr="00DA5D49" w:rsidRDefault="000E6B91" w:rsidP="00E33A0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</w:rPr>
      </w:pPr>
    </w:p>
    <w:p w:rsidR="00F0128E" w:rsidRPr="00DA5D49" w:rsidRDefault="00F0128E" w:rsidP="00140D28">
      <w:pPr>
        <w:jc w:val="center"/>
        <w:rPr>
          <w:rFonts w:ascii="Bookman Old Style" w:eastAsia="TTA20D4948t00" w:hAnsi="Bookman Old Style" w:cstheme="minorHAnsi"/>
          <w:b/>
        </w:rPr>
      </w:pPr>
      <w:r w:rsidRPr="00DA5D49">
        <w:rPr>
          <w:rFonts w:ascii="Bookman Old Style" w:eastAsia="TTA20D4948t00" w:hAnsi="Bookman Old Style" w:cstheme="minorHAnsi"/>
          <w:b/>
        </w:rPr>
        <w:t>IDENTYFIKACJA</w:t>
      </w:r>
    </w:p>
    <w:p w:rsidR="00F0128E" w:rsidRPr="00DA5D49" w:rsidRDefault="006F3035" w:rsidP="002369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eastAsia="TTA20CB8C8t00" w:hAnsi="Bookman Old Style" w:cstheme="minorHAnsi"/>
        </w:rPr>
      </w:pPr>
      <w:r w:rsidRPr="00236992">
        <w:rPr>
          <w:rFonts w:ascii="Bookman Old Style" w:eastAsia="TTA20CB8C8t00" w:hAnsi="Bookman Old Style" w:cstheme="minorHAnsi"/>
        </w:rPr>
        <w:t xml:space="preserve">Należy podjąć </w:t>
      </w:r>
      <w:r w:rsidR="00236992">
        <w:rPr>
          <w:rFonts w:ascii="Bookman Old Style" w:eastAsia="TTA20CB8C8t00" w:hAnsi="Bookman Old Style" w:cstheme="minorHAnsi"/>
        </w:rPr>
        <w:t>wszystkie konieczne środki, aby</w:t>
      </w:r>
      <w:bookmarkStart w:id="0" w:name="_GoBack"/>
      <w:bookmarkEnd w:id="0"/>
      <w:r w:rsidRPr="00DA5D49">
        <w:rPr>
          <w:rFonts w:ascii="Bookman Old Style" w:eastAsia="TTA20CB8C8t00" w:hAnsi="Bookman Old Style" w:cstheme="minorHAnsi"/>
        </w:rPr>
        <w:t xml:space="preserve"> </w:t>
      </w:r>
      <w:r w:rsidRPr="00DA5D49">
        <w:rPr>
          <w:rFonts w:ascii="Bookman Old Style" w:eastAsia="TTA20CB8C8t00" w:hAnsi="Bookman Old Style" w:cstheme="minorHAnsi"/>
          <w:b/>
        </w:rPr>
        <w:t>umożliwić identyfikację przesyłek produktów ubocznych pochodzenia zwierzęcego i produktów pochodnych</w:t>
      </w:r>
      <w:r w:rsidRPr="00DA5D49">
        <w:rPr>
          <w:rFonts w:ascii="Bookman Old Style" w:eastAsia="TTA20CB8C8t00" w:hAnsi="Bookman Old Style" w:cstheme="minorHAnsi"/>
        </w:rPr>
        <w:t xml:space="preserve"> oraz zapewnić ich osobne przetrzymywanie i możliwość ich identyfikacji podczas gromadzenia w miejscu pochodzenia produktów ubocznych pochodzenia zwierzęcego i podczas przewozu;</w:t>
      </w:r>
    </w:p>
    <w:p w:rsidR="00D753A1" w:rsidRPr="00DA5D49" w:rsidRDefault="00D753A1" w:rsidP="00DA5D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TA20CB8C8t00" w:hAnsi="Bookman Old Style" w:cstheme="minorHAnsi"/>
        </w:rPr>
      </w:pPr>
    </w:p>
    <w:p w:rsidR="006F3035" w:rsidRPr="00DA5D49" w:rsidRDefault="006F3035" w:rsidP="00140D28">
      <w:pPr>
        <w:pStyle w:val="CM4"/>
        <w:spacing w:before="60" w:after="60"/>
        <w:jc w:val="center"/>
        <w:rPr>
          <w:rFonts w:ascii="Bookman Old Style" w:hAnsi="Bookman Old Style" w:cs="EUAlbertina"/>
          <w:b/>
          <w:bCs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b/>
          <w:bCs/>
          <w:color w:val="000000"/>
          <w:sz w:val="22"/>
          <w:szCs w:val="22"/>
        </w:rPr>
        <w:t>DOKUMENTY HANDLOWE I ŚWIADECTWA ZDROWIA</w:t>
      </w:r>
    </w:p>
    <w:p w:rsidR="00E33A0E" w:rsidRPr="00DA5D49" w:rsidRDefault="00E33A0E" w:rsidP="00DA5D49">
      <w:pPr>
        <w:jc w:val="both"/>
        <w:rPr>
          <w:rFonts w:ascii="Bookman Old Style" w:hAnsi="Bookman Old Style"/>
        </w:rPr>
      </w:pPr>
    </w:p>
    <w:p w:rsidR="006F3035" w:rsidRPr="00DA5D49" w:rsidRDefault="006F3035" w:rsidP="00DA5D49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EUAlbertina"/>
          <w:color w:val="000000"/>
        </w:rPr>
      </w:pPr>
      <w:r w:rsidRPr="00DA5D49">
        <w:rPr>
          <w:rFonts w:ascii="Bookman Old Style" w:hAnsi="Bookman Old Style" w:cs="EUAlbertina"/>
          <w:b/>
          <w:color w:val="000000"/>
        </w:rPr>
        <w:t xml:space="preserve">Podczas przewozu produktom ubocznym pochodzenia zwierzęcego lub produktom pochodnym musi towarzyszyć </w:t>
      </w:r>
      <w:r w:rsidRPr="00DA5D49">
        <w:rPr>
          <w:rFonts w:ascii="Bookman Old Style" w:hAnsi="Bookman Old Style" w:cs="EUAlbertina"/>
          <w:b/>
          <w:color w:val="000000"/>
          <w:u w:val="single"/>
        </w:rPr>
        <w:t>dokument handlowy</w:t>
      </w:r>
      <w:r w:rsidR="00E53539">
        <w:rPr>
          <w:rFonts w:ascii="Bookman Old Style" w:hAnsi="Bookman Old Style" w:cs="EUAlbertina"/>
          <w:b/>
          <w:color w:val="000000"/>
        </w:rPr>
        <w:t xml:space="preserve"> </w:t>
      </w:r>
      <w:r w:rsidR="00E53539" w:rsidRPr="00000E10">
        <w:rPr>
          <w:rFonts w:ascii="Bookman Old Style" w:hAnsi="Bookman Old Style" w:cs="EUAlbertina"/>
          <w:color w:val="000000"/>
        </w:rPr>
        <w:t>zgodny z określonym w rozporządzeniu</w:t>
      </w:r>
      <w:r w:rsidRPr="00000E10">
        <w:rPr>
          <w:rFonts w:ascii="Bookman Old Style" w:hAnsi="Bookman Old Style" w:cs="EUAlbertina"/>
          <w:color w:val="000000"/>
        </w:rPr>
        <w:t xml:space="preserve"> wzorem lub, w przypadkach gdy wymagane</w:t>
      </w:r>
      <w:r w:rsidRPr="00DA5D49">
        <w:rPr>
          <w:rFonts w:ascii="Bookman Old Style" w:hAnsi="Bookman Old Style" w:cs="EUAlbertina"/>
          <w:color w:val="000000"/>
        </w:rPr>
        <w:t xml:space="preserve"> jest to niniejszym rozporządzeniem, świadectwo zdrowia.</w:t>
      </w:r>
    </w:p>
    <w:p w:rsidR="006F3035" w:rsidRPr="00DA5D49" w:rsidRDefault="006F3035" w:rsidP="00DA5D49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EUAlbertina"/>
          <w:color w:val="000000"/>
        </w:rPr>
      </w:pPr>
      <w:r w:rsidRPr="00DA5D49">
        <w:rPr>
          <w:rFonts w:ascii="Bookman Old Style" w:hAnsi="Bookman Old Style" w:cs="EUAlbertina"/>
          <w:b/>
          <w:color w:val="000000"/>
        </w:rPr>
        <w:t xml:space="preserve">Dokument handlowy musi być wystawiony </w:t>
      </w:r>
      <w:r w:rsidRPr="00DA5D49">
        <w:rPr>
          <w:rFonts w:ascii="Bookman Old Style" w:hAnsi="Bookman Old Style" w:cs="EUAlbertina"/>
          <w:b/>
          <w:color w:val="000000"/>
          <w:u w:val="single"/>
        </w:rPr>
        <w:t>co najmniej w trzech egzemplarzach</w:t>
      </w:r>
      <w:r w:rsidRPr="00DA5D49">
        <w:rPr>
          <w:rFonts w:ascii="Bookman Old Style" w:hAnsi="Bookman Old Style" w:cs="EUAlbertina"/>
          <w:b/>
          <w:color w:val="000000"/>
        </w:rPr>
        <w:t xml:space="preserve"> (jeden oryginał i dwie kopie). Oryginał musi towarzyszyć przesyłce do ostatecznego miejsca przeznaczenia. Zachowuje go odbiorca. Producent i przewoźnik</w:t>
      </w:r>
      <w:r w:rsidR="00E920F0" w:rsidRPr="00DA5D49">
        <w:rPr>
          <w:rFonts w:ascii="Bookman Old Style" w:hAnsi="Bookman Old Style" w:cs="EUAlbertina"/>
          <w:b/>
          <w:color w:val="000000"/>
        </w:rPr>
        <w:t>( i  jeśli jest pośrednik)</w:t>
      </w:r>
      <w:r w:rsidRPr="00DA5D49">
        <w:rPr>
          <w:rFonts w:ascii="Bookman Old Style" w:hAnsi="Bookman Old Style" w:cs="EUAlbertina"/>
          <w:b/>
          <w:color w:val="000000"/>
        </w:rPr>
        <w:t xml:space="preserve"> muszą zachować po jednej kopii</w:t>
      </w:r>
      <w:r w:rsidRPr="00DA5D49">
        <w:rPr>
          <w:rFonts w:ascii="Bookman Old Style" w:hAnsi="Bookman Old Style" w:cs="EUAlbertina"/>
          <w:color w:val="000000"/>
        </w:rPr>
        <w:t>.</w:t>
      </w:r>
    </w:p>
    <w:p w:rsidR="001831BF" w:rsidRPr="00F156CD" w:rsidRDefault="001831BF" w:rsidP="00F156CD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EUAlbertina"/>
          <w:color w:val="000000"/>
        </w:rPr>
      </w:pPr>
      <w:r w:rsidRPr="00F156CD">
        <w:rPr>
          <w:rFonts w:ascii="Bookman Old Style" w:hAnsi="Bookman Old Style" w:cs="EUAlbertina"/>
          <w:color w:val="000000"/>
        </w:rPr>
        <w:t>Dokument handlowy towarzyszy produktom ubocznym pochodzenia zwierzęcego i produktom pochodnym od punktu wyjściowego w łańcuchu produkcji, o którym mowa w art. 4 ust. 1 rozporządzenia (WE) nr 1069/2009, w trakcie przewozu na terytorium UE.</w:t>
      </w:r>
    </w:p>
    <w:p w:rsidR="001831BF" w:rsidRPr="00D12C78" w:rsidRDefault="001831BF" w:rsidP="00D12C78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EUAlbertina"/>
          <w:color w:val="000000"/>
        </w:rPr>
      </w:pPr>
      <w:r w:rsidRPr="00D12C78">
        <w:rPr>
          <w:rFonts w:ascii="Bookman Old Style" w:hAnsi="Bookman Old Style" w:cs="EUAlbertina"/>
          <w:b/>
          <w:color w:val="000000"/>
          <w:u w:val="single"/>
        </w:rPr>
        <w:t>Dokumentację i powiązane dokumenty handlowe bądź świadectwa zdrowia przechowuje się przez okres co najmniej dwóch lat celem ich przedłożenia właściwemu organowi</w:t>
      </w:r>
      <w:r w:rsidRPr="00D12C78">
        <w:rPr>
          <w:rFonts w:ascii="Bookman Old Style" w:hAnsi="Bookman Old Style" w:cs="EUAlbertina"/>
          <w:color w:val="000000"/>
        </w:rPr>
        <w:t>.</w:t>
      </w:r>
    </w:p>
    <w:p w:rsidR="001831BF" w:rsidRPr="00DA5D49" w:rsidRDefault="001831BF" w:rsidP="00DA5D49">
      <w:pPr>
        <w:pStyle w:val="CM4"/>
        <w:numPr>
          <w:ilvl w:val="0"/>
          <w:numId w:val="2"/>
        </w:numPr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b/>
          <w:color w:val="000000"/>
          <w:sz w:val="22"/>
          <w:szCs w:val="22"/>
        </w:rPr>
        <w:t>Muszą one zawierać, w porządku określonym we wzorze, kolejno ponumerowane poświadczenia wymagane przy przewozie produktów ubocznych pochodzenia zwierzęcego oraz produktów pochodnych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. </w:t>
      </w:r>
    </w:p>
    <w:p w:rsidR="001831BF" w:rsidRPr="00DA5D49" w:rsidRDefault="001831BF" w:rsidP="00DA5D49">
      <w:pPr>
        <w:pStyle w:val="CM4"/>
        <w:numPr>
          <w:ilvl w:val="0"/>
          <w:numId w:val="2"/>
        </w:numPr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lastRenderedPageBreak/>
        <w:t xml:space="preserve">Sporządza się je, odpowiednio, w jednym z języków urzędowych państwa członkowskiego pochodzenia lub państwa członkowskiego przeznaczenia.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Jednakże dokument handlowy może być sporządzony w innych językach urzędowych Unii, jeżeli towarzyszy mu urzędowe tłumaczenie lub jeżeli zostało to wcześniej uzgodnione z właściwymi organami państwa członkowskiego przeznaczenia. </w:t>
      </w:r>
    </w:p>
    <w:p w:rsidR="001831BF" w:rsidRPr="00DA5D49" w:rsidRDefault="001831BF" w:rsidP="00DA5D49">
      <w:pPr>
        <w:pStyle w:val="CM4"/>
        <w:numPr>
          <w:ilvl w:val="0"/>
          <w:numId w:val="3"/>
        </w:numPr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Oryginał każdego dokumentu handlowego składa się z jednego arkusza wypełnionego po obu stronach lub, jeżeli wymaga tego długość tekstu, powinien być on sporządzony w taki sposób, by wszystkie strony wyraźnie stanowiły niepodzielną całość. </w:t>
      </w:r>
    </w:p>
    <w:p w:rsidR="001831BF" w:rsidRPr="00DA5D49" w:rsidRDefault="001831BF" w:rsidP="00DA5D49">
      <w:pPr>
        <w:pStyle w:val="CM4"/>
        <w:numPr>
          <w:ilvl w:val="0"/>
          <w:numId w:val="3"/>
        </w:numPr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Jeżeli w celach identyfikacji towarów wchodzących w skład przesyłki do dokumentu handlowego dołączone są dodatkowe arkusze, powinny one tworzyć część oryginału dokumentu poprzez umieszczenie na każdej stronie podpisu osoby odpowiedzialnej za przesyłkę. </w:t>
      </w:r>
    </w:p>
    <w:p w:rsidR="001831BF" w:rsidRPr="00DA5D49" w:rsidRDefault="001831BF" w:rsidP="00DA5D49">
      <w:pPr>
        <w:pStyle w:val="CM4"/>
        <w:numPr>
          <w:ilvl w:val="0"/>
          <w:numId w:val="3"/>
        </w:numPr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Jeżeli dokument handlowy wraz z dodatkowymi arkuszami, o których mowa w lit. d), składa się z więcej niż jednej strony, każda ze stron musi być ponumerowana – (numer strony) z (całkowita liczba stron) – u dołu strony oraz musi być opatrzona na górze strony numerem kodu danego dokumentu nadanym przez osobę odpowiedzialną. </w:t>
      </w:r>
    </w:p>
    <w:p w:rsidR="001831BF" w:rsidRPr="00DA5D49" w:rsidRDefault="001831BF" w:rsidP="00DA5D49">
      <w:pPr>
        <w:pStyle w:val="CM4"/>
        <w:numPr>
          <w:ilvl w:val="0"/>
          <w:numId w:val="3"/>
        </w:numPr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Oryginał dokumentu handlowego musi być wypełniony i podpisany przez osobę odpowiedzialną. </w:t>
      </w:r>
    </w:p>
    <w:p w:rsidR="00D753A1" w:rsidRPr="00DA5D49" w:rsidRDefault="00D753A1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</w:p>
    <w:p w:rsidR="001831BF" w:rsidRPr="00DA5D49" w:rsidRDefault="007A509E" w:rsidP="00DA5D49">
      <w:pPr>
        <w:pStyle w:val="CM4"/>
        <w:spacing w:before="60" w:after="60"/>
        <w:jc w:val="both"/>
        <w:rPr>
          <w:rFonts w:ascii="Bookman Old Style" w:hAnsi="Bookman Old Style" w:cs="EUAlbertina"/>
          <w:b/>
          <w:color w:val="000000"/>
          <w:sz w:val="22"/>
          <w:szCs w:val="22"/>
        </w:rPr>
      </w:pPr>
      <w:r w:rsidRPr="00DA5D49">
        <w:rPr>
          <w:rFonts w:ascii="Bookman Old Style" w:hAnsi="Bookman Old Style" w:cs="Times New Roman"/>
          <w:b/>
          <w:color w:val="000000"/>
          <w:sz w:val="22"/>
          <w:szCs w:val="22"/>
        </w:rPr>
        <w:t>▪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</w:rPr>
        <w:t xml:space="preserve">   </w:t>
      </w:r>
      <w:r w:rsidR="001831BF" w:rsidRPr="00DA5D49">
        <w:rPr>
          <w:rFonts w:ascii="Bookman Old Style" w:hAnsi="Bookman Old Style" w:cs="EUAlbertina"/>
          <w:b/>
          <w:color w:val="000000"/>
          <w:sz w:val="22"/>
          <w:szCs w:val="22"/>
        </w:rPr>
        <w:t>W dokumencie handlowym muszą być wyszczególnione następujące dane: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  <w:u w:val="single"/>
        </w:rPr>
        <w:t>data odbioru materiału z siedziby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</w:rPr>
        <w:t>;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(ii) opis materiału, z określeniem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—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  <w:u w:val="single"/>
        </w:rPr>
        <w:t>kategorii materiału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, zgodnie z art. 8, 9 i 10 rozporządzenia (WE) nr 1069/2009,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—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  <w:u w:val="single"/>
        </w:rPr>
        <w:t>gatunku zwierzęcia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 oraz szczególnym odniesieniem do stosownego punktu w art. 10 rozporządzenia (WE) nr 1069/2009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</w:rPr>
        <w:t>w przypadku materiału kategorii 3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 i otrzymanych z niego produktów przeznaczonych do skarmiania oraz </w:t>
      </w:r>
    </w:p>
    <w:p w:rsidR="001831BF" w:rsidRPr="00DA5D49" w:rsidRDefault="001831BF" w:rsidP="00DA5D49">
      <w:pPr>
        <w:ind w:left="360"/>
        <w:jc w:val="both"/>
        <w:rPr>
          <w:rFonts w:ascii="Bookman Old Style" w:hAnsi="Bookman Old Style" w:cstheme="minorHAnsi"/>
          <w:color w:val="000000"/>
        </w:rPr>
      </w:pPr>
      <w:r w:rsidRPr="00DA5D49">
        <w:rPr>
          <w:rFonts w:ascii="Bookman Old Style" w:hAnsi="Bookman Old Style" w:cstheme="minorHAnsi"/>
          <w:color w:val="000000"/>
        </w:rPr>
        <w:t>— w stosownych przypadkach, numeru kolczyka usznego zwierzęcia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(iii)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  <w:u w:val="single"/>
        </w:rPr>
        <w:t>ilość materiału – objętość, waga lub liczba opakowań</w:t>
      </w:r>
      <w:r w:rsidRPr="00DA5D49">
        <w:rPr>
          <w:rFonts w:ascii="Bookman Old Style" w:hAnsi="Bookman Old Style" w:cs="EUAlbertina"/>
          <w:color w:val="000000"/>
          <w:sz w:val="22"/>
          <w:szCs w:val="22"/>
          <w:u w:val="single"/>
        </w:rPr>
        <w:t>;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>(iv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</w:rPr>
        <w:t xml:space="preserve">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  <w:u w:val="single"/>
        </w:rPr>
        <w:t>miejsce pochodzenia materiału, skąd materiał jest wysyłany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;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(v)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  <w:u w:val="single"/>
        </w:rPr>
        <w:t>nazwisko (nazwa) i adres przewoźnika materiału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;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(vi)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  <w:u w:val="single"/>
        </w:rPr>
        <w:t>nazwisko (nazwa) i adres odbiorcy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, a także, w stosownych przypadkach,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  <w:u w:val="single"/>
        </w:rPr>
        <w:t>jego numer zatwierdzenia</w:t>
      </w:r>
      <w:r w:rsidRPr="00DA5D49">
        <w:rPr>
          <w:rFonts w:ascii="Bookman Old Style" w:hAnsi="Bookman Old Style" w:cs="EUAlbertina"/>
          <w:color w:val="000000"/>
          <w:sz w:val="22"/>
          <w:szCs w:val="22"/>
          <w:u w:val="single"/>
        </w:rPr>
        <w:t xml:space="preserve"> lub numer rejestracyjny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, nadany na mocy, odpowiednio, rozporządzenia (WE) nr 1069/2009 lub rozporządzeń (WE) nr 852/2004, (WE) nr 853/2004 lub (WE) nr 183/2005;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(vii)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  <w:u w:val="single"/>
        </w:rPr>
        <w:t>w stosownych przypadkach, numer zatwierdzenia lub numer rejestracyjny przedsiębiorstwa lub zakładu pochodzenia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, nadany na mocy, odpowiednio, rozporządzenia (WE) nr 1069/2009 lub rozporządzeń (WE) nr 852/2004, (WE) nr 853/2004 lub (WE) nr 183/2005, oraz rodzaj i metody obróbki; </w:t>
      </w:r>
    </w:p>
    <w:p w:rsidR="007A509E" w:rsidRPr="00DA5D49" w:rsidRDefault="007A509E" w:rsidP="00DA5D49">
      <w:pPr>
        <w:jc w:val="both"/>
        <w:rPr>
          <w:rFonts w:ascii="Bookman Old Style" w:hAnsi="Bookman Old Style"/>
        </w:rPr>
      </w:pP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Kolor podpisu osoby odpowiedzialnej musi być inny niż kolor druku. </w:t>
      </w:r>
    </w:p>
    <w:p w:rsidR="001831BF" w:rsidRDefault="001831BF" w:rsidP="000E354B">
      <w:pPr>
        <w:jc w:val="both"/>
        <w:rPr>
          <w:rFonts w:ascii="Bookman Old Style" w:hAnsi="Bookman Old Style" w:cs="EUAlbertina"/>
          <w:color w:val="000000"/>
        </w:rPr>
      </w:pPr>
      <w:r w:rsidRPr="00DA5D49">
        <w:rPr>
          <w:rFonts w:ascii="Bookman Old Style" w:hAnsi="Bookman Old Style" w:cs="EUAlbertina"/>
          <w:color w:val="000000"/>
        </w:rPr>
        <w:t>Numer referencyjny dokumentu i lokalny numer referencyjny dla tej samej przesyłki są nadawane tylko jeden raz.</w:t>
      </w:r>
    </w:p>
    <w:p w:rsidR="00EC5278" w:rsidRPr="00DA5D49" w:rsidRDefault="00EC5278" w:rsidP="000E354B">
      <w:pPr>
        <w:jc w:val="both"/>
        <w:rPr>
          <w:rFonts w:ascii="Bookman Old Style" w:hAnsi="Bookman Old Style" w:cs="EUAlbertina"/>
          <w:color w:val="000000"/>
        </w:rPr>
      </w:pPr>
    </w:p>
    <w:p w:rsidR="001831BF" w:rsidRDefault="001831BF" w:rsidP="00D32222">
      <w:pPr>
        <w:pStyle w:val="CM4"/>
        <w:spacing w:before="60" w:after="60"/>
        <w:jc w:val="center"/>
        <w:rPr>
          <w:rFonts w:ascii="Bookman Old Style" w:hAnsi="Bookman Old Style" w:cs="EUAlbertina"/>
          <w:b/>
          <w:bCs/>
          <w:color w:val="000000"/>
          <w:sz w:val="22"/>
          <w:szCs w:val="22"/>
          <w:u w:val="single"/>
        </w:rPr>
      </w:pPr>
      <w:r w:rsidRPr="00DA5D49">
        <w:rPr>
          <w:rFonts w:ascii="Bookman Old Style" w:hAnsi="Bookman Old Style" w:cs="EUAlbertina"/>
          <w:b/>
          <w:bCs/>
          <w:color w:val="000000"/>
          <w:sz w:val="22"/>
          <w:szCs w:val="22"/>
          <w:u w:val="single"/>
        </w:rPr>
        <w:lastRenderedPageBreak/>
        <w:t>REJESTRY</w:t>
      </w:r>
    </w:p>
    <w:p w:rsidR="00D307BE" w:rsidRPr="00D307BE" w:rsidRDefault="00D307BE" w:rsidP="00D307BE"/>
    <w:p w:rsidR="00CD3FC3" w:rsidRPr="00D307BE" w:rsidRDefault="001831BF" w:rsidP="00D307BE">
      <w:pPr>
        <w:pStyle w:val="CM4"/>
        <w:spacing w:before="60" w:after="60"/>
        <w:jc w:val="center"/>
        <w:rPr>
          <w:rFonts w:ascii="Bookman Old Style" w:hAnsi="Bookman Old Style" w:cs="EUAlbertina"/>
          <w:b/>
          <w:bCs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b/>
          <w:bCs/>
          <w:color w:val="000000"/>
          <w:sz w:val="22"/>
          <w:szCs w:val="22"/>
        </w:rPr>
        <w:t>Przepisy ogólne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1. Rejestry, o których mowa w art. 22 ust. 1 rozporządzenia (WE) nr 1069/2009 w odniesieniu do produktów ubocznych pochodzenia zwierzęcego lub produktów pochodnych, innych niż mieszanki paszowe zdefiniowane w art. 3 ust. 2 lit. h) rozporządzenia (WE) nr 767/2009, wytworzone z produktów ubocznych pochodzenia zwierzęcego lub produktów pochodnych i wprowadzane do obrotu zgodnie z art. 4 rozporządzenia (WE) nr 767/2009, zawierają: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a) określenie: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</w:rPr>
        <w:t>gatunków zwierząt w odniesieniu do materiału kategorii 3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 i otrzymanych z niego produktów pochodnych, przeznaczonych do wykorzystania jako materiał paszowy, oraz, gdy ma to zastosowanie, w przypadku całych tusz i głów, numer kolczyka usznego zwierzęcia;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(ii)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</w:rPr>
        <w:t>ilości materiału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; </w:t>
      </w:r>
    </w:p>
    <w:p w:rsidR="008E2689" w:rsidRPr="00DA5D49" w:rsidRDefault="008E2689" w:rsidP="00DA5D49">
      <w:pPr>
        <w:jc w:val="both"/>
        <w:rPr>
          <w:rFonts w:ascii="Bookman Old Style" w:hAnsi="Bookman Old Style"/>
        </w:rPr>
      </w:pP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b)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</w:rPr>
        <w:t>w przypadku rejestrów prowadzonych przez osobę wysyłającą produkty uboczne pochodzenia zwierzęcego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 lub produkty pochodne – następujące informacje: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(i) data odbioru materiału z terenu zakładu;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(ii) nazwa i adres przewoźnika i odbiorcy oraz, o ile ma to zastosowanie, ich numer zatwierdzenia lub numer rejestracyjny; </w:t>
      </w:r>
    </w:p>
    <w:p w:rsidR="008E2689" w:rsidRPr="00DA5D49" w:rsidRDefault="008E2689" w:rsidP="00DA5D49">
      <w:pPr>
        <w:jc w:val="both"/>
        <w:rPr>
          <w:rFonts w:ascii="Bookman Old Style" w:hAnsi="Bookman Old Style"/>
        </w:rPr>
      </w:pP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c)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</w:rPr>
        <w:t>w przypadku rejestrów prowadzonych przez osobę przewożącą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 produkty uboczne pochodzenia zwierzęcego lub produkty pochodne – następujące informacje: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(i) data odbioru materiału z terenu zakładu;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(ii) miejsce pochodzenia materiału, z którego jest on wysyłany;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(iii) nazwisko (nazwa) i adres odbiorcy, a także – o ile ma to zastosowanie – jego numer zatwierdzenia lub numer rejestracyjny; </w:t>
      </w:r>
    </w:p>
    <w:p w:rsidR="008E2689" w:rsidRPr="00DA5D49" w:rsidRDefault="008E2689" w:rsidP="00DA5D49">
      <w:pPr>
        <w:jc w:val="both"/>
        <w:rPr>
          <w:rFonts w:ascii="Bookman Old Style" w:hAnsi="Bookman Old Style"/>
        </w:rPr>
      </w:pP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d) </w:t>
      </w:r>
      <w:r w:rsidRPr="00DA5D49">
        <w:rPr>
          <w:rFonts w:ascii="Bookman Old Style" w:hAnsi="Bookman Old Style" w:cs="EUAlbertina"/>
          <w:b/>
          <w:color w:val="000000"/>
          <w:sz w:val="22"/>
          <w:szCs w:val="22"/>
        </w:rPr>
        <w:t>w przypadku rejestrów prowadzonych przez osobę odbierającą</w:t>
      </w: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 produkty uboczne pochodzenia zwierzęcego lub produkty pochodne – następujące informacje: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(i) data otrzymania materiału; </w:t>
      </w:r>
    </w:p>
    <w:p w:rsidR="001831BF" w:rsidRPr="00DA5D49" w:rsidRDefault="001831BF" w:rsidP="00DA5D49">
      <w:pPr>
        <w:pStyle w:val="CM4"/>
        <w:spacing w:before="60" w:after="60"/>
        <w:jc w:val="both"/>
        <w:rPr>
          <w:rFonts w:ascii="Bookman Old Style" w:hAnsi="Bookman Old Style" w:cs="EUAlbertina"/>
          <w:color w:val="000000"/>
          <w:sz w:val="22"/>
          <w:szCs w:val="22"/>
        </w:rPr>
      </w:pPr>
      <w:r w:rsidRPr="00DA5D49">
        <w:rPr>
          <w:rFonts w:ascii="Bookman Old Style" w:hAnsi="Bookman Old Style" w:cs="EUAlbertina"/>
          <w:color w:val="000000"/>
          <w:sz w:val="22"/>
          <w:szCs w:val="22"/>
        </w:rPr>
        <w:t xml:space="preserve">(ii) miejsce pochodzenia materiału, z którego jest on wysyłany; </w:t>
      </w:r>
    </w:p>
    <w:p w:rsidR="001831BF" w:rsidRPr="00DA5D49" w:rsidRDefault="001831BF" w:rsidP="00DA5D49">
      <w:pPr>
        <w:ind w:left="360"/>
        <w:jc w:val="both"/>
        <w:rPr>
          <w:rFonts w:ascii="Bookman Old Style" w:hAnsi="Bookman Old Style" w:cstheme="minorHAnsi"/>
        </w:rPr>
      </w:pPr>
      <w:r w:rsidRPr="00DA5D49">
        <w:rPr>
          <w:rFonts w:ascii="Bookman Old Style" w:hAnsi="Bookman Old Style" w:cs="EUAlbertina"/>
          <w:color w:val="000000"/>
        </w:rPr>
        <w:t>(iii) nazwisko (nazwa) i adres przewoźnika.</w:t>
      </w:r>
    </w:p>
    <w:p w:rsidR="0051730F" w:rsidRPr="00DA5D49" w:rsidRDefault="0051730F" w:rsidP="00DA5D49">
      <w:pPr>
        <w:ind w:left="360"/>
        <w:jc w:val="both"/>
        <w:rPr>
          <w:rFonts w:ascii="Bookman Old Style" w:hAnsi="Bookman Old Style" w:cstheme="minorHAnsi"/>
        </w:rPr>
      </w:pPr>
    </w:p>
    <w:sectPr w:rsidR="0051730F" w:rsidRPr="00DA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A20D49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A20CB8C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1E6"/>
    <w:multiLevelType w:val="hybridMultilevel"/>
    <w:tmpl w:val="434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6D1A"/>
    <w:multiLevelType w:val="hybridMultilevel"/>
    <w:tmpl w:val="6C0EC81E"/>
    <w:lvl w:ilvl="0" w:tplc="1DB4E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3F9B"/>
    <w:multiLevelType w:val="hybridMultilevel"/>
    <w:tmpl w:val="6C0EC81E"/>
    <w:lvl w:ilvl="0" w:tplc="1DB4E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07427"/>
    <w:multiLevelType w:val="hybridMultilevel"/>
    <w:tmpl w:val="42D2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B064F"/>
    <w:multiLevelType w:val="hybridMultilevel"/>
    <w:tmpl w:val="8A82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61FE"/>
    <w:multiLevelType w:val="hybridMultilevel"/>
    <w:tmpl w:val="7518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73B2C"/>
    <w:multiLevelType w:val="hybridMultilevel"/>
    <w:tmpl w:val="5B58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8E"/>
    <w:rsid w:val="00000E10"/>
    <w:rsid w:val="000E354B"/>
    <w:rsid w:val="000E6B91"/>
    <w:rsid w:val="00131F03"/>
    <w:rsid w:val="00140D28"/>
    <w:rsid w:val="001535AF"/>
    <w:rsid w:val="00182CC6"/>
    <w:rsid w:val="001831BF"/>
    <w:rsid w:val="001F4D32"/>
    <w:rsid w:val="00236992"/>
    <w:rsid w:val="00297C6E"/>
    <w:rsid w:val="00373814"/>
    <w:rsid w:val="0051730F"/>
    <w:rsid w:val="00696CE9"/>
    <w:rsid w:val="006F3035"/>
    <w:rsid w:val="007843B4"/>
    <w:rsid w:val="007A509E"/>
    <w:rsid w:val="007A614D"/>
    <w:rsid w:val="008C23FC"/>
    <w:rsid w:val="008E2689"/>
    <w:rsid w:val="009D6C1B"/>
    <w:rsid w:val="009E4132"/>
    <w:rsid w:val="00C6083D"/>
    <w:rsid w:val="00CD3FC3"/>
    <w:rsid w:val="00D12C78"/>
    <w:rsid w:val="00D307BE"/>
    <w:rsid w:val="00D32222"/>
    <w:rsid w:val="00D510A3"/>
    <w:rsid w:val="00D753A1"/>
    <w:rsid w:val="00DA5D49"/>
    <w:rsid w:val="00E33A0E"/>
    <w:rsid w:val="00E53539"/>
    <w:rsid w:val="00E920F0"/>
    <w:rsid w:val="00EC5278"/>
    <w:rsid w:val="00F0128E"/>
    <w:rsid w:val="00F1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6F303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035"/>
    <w:pPr>
      <w:ind w:left="720"/>
      <w:contextualSpacing/>
    </w:pPr>
  </w:style>
  <w:style w:type="paragraph" w:customStyle="1" w:styleId="Default">
    <w:name w:val="Default"/>
    <w:rsid w:val="00E33A0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6F303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035"/>
    <w:pPr>
      <w:ind w:left="720"/>
      <w:contextualSpacing/>
    </w:pPr>
  </w:style>
  <w:style w:type="paragraph" w:customStyle="1" w:styleId="Default">
    <w:name w:val="Default"/>
    <w:rsid w:val="00E33A0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Brzezińska</dc:creator>
  <cp:lastModifiedBy>Patrycja Brzezińska</cp:lastModifiedBy>
  <cp:revision>32</cp:revision>
  <dcterms:created xsi:type="dcterms:W3CDTF">2012-10-01T07:46:00Z</dcterms:created>
  <dcterms:modified xsi:type="dcterms:W3CDTF">2013-12-11T12:27:00Z</dcterms:modified>
</cp:coreProperties>
</file>